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E09ED" w14:textId="77777777" w:rsidR="009408C0" w:rsidRDefault="009408C0" w:rsidP="009408C0">
      <w:bookmarkStart w:id="0" w:name="_GoBack"/>
      <w:r>
        <w:t>This document describes the strategies which are ordinarily available to support pupils who have SEND.</w:t>
      </w:r>
    </w:p>
    <w:tbl>
      <w:tblPr>
        <w:tblStyle w:val="TableGrid"/>
        <w:tblW w:w="0" w:type="auto"/>
        <w:tblLook w:val="04A0" w:firstRow="1" w:lastRow="0" w:firstColumn="1" w:lastColumn="0" w:noHBand="0" w:noVBand="1"/>
      </w:tblPr>
      <w:tblGrid>
        <w:gridCol w:w="4815"/>
        <w:gridCol w:w="9133"/>
      </w:tblGrid>
      <w:tr w:rsidR="00D82F1A" w14:paraId="568B9BE5" w14:textId="77777777" w:rsidTr="00AE3EA0">
        <w:tc>
          <w:tcPr>
            <w:tcW w:w="13948" w:type="dxa"/>
            <w:gridSpan w:val="2"/>
            <w:shd w:val="clear" w:color="auto" w:fill="B4C6E7" w:themeFill="accent1" w:themeFillTint="66"/>
          </w:tcPr>
          <w:bookmarkEnd w:id="0"/>
          <w:p w14:paraId="0159367A" w14:textId="77777777" w:rsidR="00D82F1A" w:rsidRPr="008758CD" w:rsidRDefault="00D82F1A" w:rsidP="008758CD">
            <w:pPr>
              <w:rPr>
                <w:b/>
                <w:sz w:val="28"/>
                <w:szCs w:val="28"/>
              </w:rPr>
            </w:pPr>
            <w:r w:rsidRPr="008758CD">
              <w:rPr>
                <w:b/>
                <w:sz w:val="28"/>
                <w:szCs w:val="28"/>
              </w:rPr>
              <w:t>Maintaining an inclusive</w:t>
            </w:r>
            <w:r>
              <w:rPr>
                <w:b/>
                <w:sz w:val="28"/>
                <w:szCs w:val="28"/>
              </w:rPr>
              <w:t xml:space="preserve"> </w:t>
            </w:r>
            <w:r w:rsidRPr="008758CD">
              <w:rPr>
                <w:b/>
                <w:sz w:val="28"/>
                <w:szCs w:val="28"/>
              </w:rPr>
              <w:t>learning environment</w:t>
            </w:r>
            <w:r>
              <w:rPr>
                <w:b/>
                <w:sz w:val="28"/>
                <w:szCs w:val="28"/>
              </w:rPr>
              <w:t xml:space="preserve"> </w:t>
            </w:r>
          </w:p>
        </w:tc>
      </w:tr>
      <w:tr w:rsidR="007F4321" w14:paraId="4A6AB1FB" w14:textId="77777777" w:rsidTr="007F4321">
        <w:tc>
          <w:tcPr>
            <w:tcW w:w="13948" w:type="dxa"/>
            <w:gridSpan w:val="2"/>
            <w:shd w:val="clear" w:color="auto" w:fill="FFFFFF" w:themeFill="background1"/>
          </w:tcPr>
          <w:p w14:paraId="44E87529" w14:textId="77777777" w:rsidR="007F4321" w:rsidRDefault="007F4321" w:rsidP="007F4321">
            <w:pPr>
              <w:rPr>
                <w:sz w:val="28"/>
                <w:szCs w:val="28"/>
              </w:rPr>
            </w:pPr>
          </w:p>
          <w:p w14:paraId="24E38A73" w14:textId="77777777" w:rsidR="00573104" w:rsidRPr="00573104" w:rsidRDefault="00573104" w:rsidP="00573104">
            <w:pPr>
              <w:pStyle w:val="ListParagraph"/>
              <w:numPr>
                <w:ilvl w:val="0"/>
                <w:numId w:val="18"/>
              </w:numPr>
              <w:rPr>
                <w:sz w:val="28"/>
                <w:szCs w:val="28"/>
              </w:rPr>
            </w:pPr>
            <w:r w:rsidRPr="00573104">
              <w:rPr>
                <w:sz w:val="28"/>
                <w:szCs w:val="28"/>
              </w:rPr>
              <w:t xml:space="preserve">Where possible, music should form part of the culture of a learner’s primary school experience. Beyond discrete music lessons, assemblies, performances, and other curriculum areas can provide opportunities for exposure to a wealth of musical experiences.  </w:t>
            </w:r>
          </w:p>
          <w:p w14:paraId="48432E7A" w14:textId="77777777" w:rsidR="00573104" w:rsidRPr="00573104" w:rsidRDefault="00573104" w:rsidP="00573104">
            <w:pPr>
              <w:pStyle w:val="ListParagraph"/>
              <w:numPr>
                <w:ilvl w:val="0"/>
                <w:numId w:val="18"/>
              </w:numPr>
              <w:rPr>
                <w:sz w:val="28"/>
                <w:szCs w:val="28"/>
              </w:rPr>
            </w:pPr>
            <w:r w:rsidRPr="00573104">
              <w:rPr>
                <w:sz w:val="28"/>
                <w:szCs w:val="28"/>
              </w:rPr>
              <w:t xml:space="preserve">Considering this, ensuring that all aspects of learners’ involvement in music education is as inclusive as possible, is paramount. Music can form an effective method of communication, so including it as part of repetitive routines such as the attendance register, number and phonics learning, as well as other daily routines, can provide predictable, reassuring and memorable experiences for learners.  </w:t>
            </w:r>
          </w:p>
          <w:p w14:paraId="545AC9D9" w14:textId="77777777" w:rsidR="00573104" w:rsidRDefault="00573104" w:rsidP="00573104">
            <w:pPr>
              <w:pStyle w:val="ListParagraph"/>
              <w:numPr>
                <w:ilvl w:val="0"/>
                <w:numId w:val="18"/>
              </w:numPr>
              <w:rPr>
                <w:sz w:val="28"/>
                <w:szCs w:val="28"/>
              </w:rPr>
            </w:pPr>
            <w:r w:rsidRPr="00573104">
              <w:rPr>
                <w:sz w:val="28"/>
                <w:szCs w:val="28"/>
              </w:rPr>
              <w:t xml:space="preserve">At times, music can create challenges for learners with sensory issues. This needs to be considered when creating an effective learning environment. </w:t>
            </w:r>
          </w:p>
          <w:p w14:paraId="39FE6745" w14:textId="77777777" w:rsidR="00573104" w:rsidRPr="00573104" w:rsidRDefault="00573104" w:rsidP="00573104">
            <w:pPr>
              <w:pStyle w:val="ListParagraph"/>
              <w:numPr>
                <w:ilvl w:val="0"/>
                <w:numId w:val="18"/>
              </w:numPr>
              <w:rPr>
                <w:sz w:val="28"/>
                <w:szCs w:val="28"/>
              </w:rPr>
            </w:pPr>
            <w:r w:rsidRPr="00573104">
              <w:rPr>
                <w:sz w:val="28"/>
                <w:szCs w:val="28"/>
              </w:rPr>
              <w:t xml:space="preserve">Consider the practical layout of the room and the position of the learners. Will they be working with a large class or a smaller group? Although music-making opportunities, such as playing instruments together or singing, lend themselves to groups, some learners may benefit from working individually, with or without the support of an adult and/or ICT.   </w:t>
            </w:r>
          </w:p>
          <w:p w14:paraId="6FCC88F2" w14:textId="77777777" w:rsidR="00573104" w:rsidRDefault="00573104" w:rsidP="00573104">
            <w:pPr>
              <w:pStyle w:val="ListParagraph"/>
              <w:numPr>
                <w:ilvl w:val="0"/>
                <w:numId w:val="18"/>
              </w:numPr>
              <w:rPr>
                <w:sz w:val="28"/>
                <w:szCs w:val="28"/>
              </w:rPr>
            </w:pPr>
            <w:r w:rsidRPr="00573104">
              <w:rPr>
                <w:sz w:val="28"/>
                <w:szCs w:val="28"/>
              </w:rPr>
              <w:t>Consider the physical layout of the workspace. Will all learners, especially those with physical disabilities, be able to access resources and have the space to play an active part in the lesson? If there is the opportunity to alter visual and/or auditory stimuli to respond to individual needs, then this should be considered.</w:t>
            </w:r>
          </w:p>
          <w:p w14:paraId="14AEA5AD" w14:textId="77777777" w:rsidR="00573104" w:rsidRDefault="00573104" w:rsidP="00573104">
            <w:pPr>
              <w:ind w:left="360"/>
            </w:pPr>
          </w:p>
          <w:p w14:paraId="0B1697C5" w14:textId="1ABF853F" w:rsidR="00573104" w:rsidRDefault="009958AF" w:rsidP="009958AF">
            <w:pPr>
              <w:rPr>
                <w:b/>
                <w:sz w:val="28"/>
                <w:szCs w:val="28"/>
              </w:rPr>
            </w:pPr>
            <w:r>
              <w:t xml:space="preserve">      </w:t>
            </w:r>
            <w:r w:rsidRPr="009958AF">
              <w:rPr>
                <w:b/>
                <w:sz w:val="28"/>
                <w:szCs w:val="28"/>
              </w:rPr>
              <w:t>EYFS</w:t>
            </w:r>
          </w:p>
          <w:p w14:paraId="40678240" w14:textId="76F65ED1" w:rsidR="009958AF" w:rsidRDefault="009958AF" w:rsidP="009958AF">
            <w:pPr>
              <w:pStyle w:val="ListParagraph"/>
              <w:numPr>
                <w:ilvl w:val="0"/>
                <w:numId w:val="19"/>
              </w:numPr>
              <w:rPr>
                <w:sz w:val="28"/>
                <w:szCs w:val="28"/>
              </w:rPr>
            </w:pPr>
            <w:r w:rsidRPr="009958AF">
              <w:rPr>
                <w:sz w:val="28"/>
                <w:szCs w:val="28"/>
              </w:rPr>
              <w:t>Younger pupils respond particularly well to puppets and pictures, which add another dimension to their learning</w:t>
            </w:r>
          </w:p>
          <w:p w14:paraId="64A0707C" w14:textId="38FD0324" w:rsidR="009958AF" w:rsidRPr="009958AF" w:rsidRDefault="009958AF" w:rsidP="009958AF">
            <w:pPr>
              <w:pStyle w:val="ListParagraph"/>
              <w:numPr>
                <w:ilvl w:val="0"/>
                <w:numId w:val="19"/>
              </w:numPr>
              <w:rPr>
                <w:sz w:val="28"/>
                <w:szCs w:val="28"/>
              </w:rPr>
            </w:pPr>
            <w:r w:rsidRPr="009958AF">
              <w:rPr>
                <w:sz w:val="28"/>
                <w:szCs w:val="28"/>
              </w:rPr>
              <w:t>A low-arousal area</w:t>
            </w:r>
            <w:r>
              <w:rPr>
                <w:sz w:val="28"/>
                <w:szCs w:val="28"/>
              </w:rPr>
              <w:t xml:space="preserve"> may be </w:t>
            </w:r>
            <w:r w:rsidRPr="009958AF">
              <w:rPr>
                <w:sz w:val="28"/>
                <w:szCs w:val="28"/>
              </w:rPr>
              <w:t xml:space="preserve"> planned</w:t>
            </w:r>
            <w:r>
              <w:rPr>
                <w:sz w:val="28"/>
                <w:szCs w:val="28"/>
              </w:rPr>
              <w:t xml:space="preserve"> </w:t>
            </w:r>
            <w:r w:rsidRPr="009958AF">
              <w:rPr>
                <w:sz w:val="28"/>
                <w:szCs w:val="28"/>
              </w:rPr>
              <w:t>for pupils who may need it and</w:t>
            </w:r>
            <w:r>
              <w:rPr>
                <w:sz w:val="28"/>
                <w:szCs w:val="28"/>
              </w:rPr>
              <w:t xml:space="preserve"> </w:t>
            </w:r>
            <w:r w:rsidRPr="009958AF">
              <w:rPr>
                <w:sz w:val="28"/>
                <w:szCs w:val="28"/>
              </w:rPr>
              <w:t>is available for use by all pupils.</w:t>
            </w:r>
          </w:p>
          <w:p w14:paraId="7CC923B3" w14:textId="77777777" w:rsidR="00573104" w:rsidRDefault="00573104" w:rsidP="00573104">
            <w:pPr>
              <w:ind w:left="360"/>
            </w:pPr>
          </w:p>
          <w:p w14:paraId="4B6B80A3" w14:textId="77777777" w:rsidR="00573104" w:rsidRPr="00573104" w:rsidRDefault="00573104" w:rsidP="00573104">
            <w:pPr>
              <w:ind w:left="360"/>
              <w:rPr>
                <w:b/>
                <w:sz w:val="28"/>
                <w:szCs w:val="28"/>
              </w:rPr>
            </w:pPr>
            <w:r>
              <w:lastRenderedPageBreak/>
              <w:t xml:space="preserve"> </w:t>
            </w:r>
            <w:r w:rsidRPr="00573104">
              <w:rPr>
                <w:b/>
                <w:sz w:val="28"/>
                <w:szCs w:val="28"/>
              </w:rPr>
              <w:t xml:space="preserve">Key Stage 1 </w:t>
            </w:r>
          </w:p>
          <w:p w14:paraId="7632DBBB" w14:textId="5D6E4A01" w:rsidR="00573104" w:rsidRDefault="00573104" w:rsidP="00573104">
            <w:pPr>
              <w:pStyle w:val="ListParagraph"/>
              <w:numPr>
                <w:ilvl w:val="0"/>
                <w:numId w:val="18"/>
              </w:numPr>
              <w:rPr>
                <w:sz w:val="28"/>
                <w:szCs w:val="28"/>
              </w:rPr>
            </w:pPr>
            <w:r w:rsidRPr="00573104">
              <w:rPr>
                <w:sz w:val="28"/>
                <w:szCs w:val="28"/>
              </w:rPr>
              <w:t>Carefully select</w:t>
            </w:r>
            <w:r w:rsidR="009958AF">
              <w:rPr>
                <w:sz w:val="28"/>
                <w:szCs w:val="28"/>
              </w:rPr>
              <w:t xml:space="preserve">ed </w:t>
            </w:r>
            <w:r w:rsidRPr="00573104">
              <w:rPr>
                <w:sz w:val="28"/>
                <w:szCs w:val="28"/>
              </w:rPr>
              <w:t xml:space="preserve">instruments ensure that all learners can access this element of the curriculum and be successful at it. They will begin to develop the foundational knowledge and skills to enable them to explore sound. </w:t>
            </w:r>
          </w:p>
          <w:p w14:paraId="18249211" w14:textId="77777777" w:rsidR="00573104" w:rsidRPr="00573104" w:rsidRDefault="00573104" w:rsidP="00573104">
            <w:pPr>
              <w:pStyle w:val="ListParagraph"/>
              <w:numPr>
                <w:ilvl w:val="0"/>
                <w:numId w:val="18"/>
              </w:numPr>
              <w:rPr>
                <w:sz w:val="28"/>
                <w:szCs w:val="28"/>
              </w:rPr>
            </w:pPr>
            <w:r w:rsidRPr="00573104">
              <w:rPr>
                <w:sz w:val="28"/>
                <w:szCs w:val="28"/>
              </w:rPr>
              <w:t xml:space="preserve">Correct terminology can be used, but there are ways of simplifying this, using pictorial or visual aids to support understanding. </w:t>
            </w:r>
          </w:p>
          <w:p w14:paraId="4E0456D7" w14:textId="77777777" w:rsidR="00573104" w:rsidRPr="00573104" w:rsidRDefault="00573104" w:rsidP="00573104">
            <w:pPr>
              <w:ind w:left="360"/>
              <w:rPr>
                <w:b/>
                <w:sz w:val="28"/>
                <w:szCs w:val="28"/>
              </w:rPr>
            </w:pPr>
            <w:r w:rsidRPr="00573104">
              <w:rPr>
                <w:b/>
                <w:sz w:val="28"/>
                <w:szCs w:val="28"/>
              </w:rPr>
              <w:t xml:space="preserve">Key Stage 2 </w:t>
            </w:r>
          </w:p>
          <w:p w14:paraId="17844695" w14:textId="77777777" w:rsidR="00573104" w:rsidRDefault="00573104" w:rsidP="00573104">
            <w:pPr>
              <w:pStyle w:val="ListParagraph"/>
              <w:numPr>
                <w:ilvl w:val="0"/>
                <w:numId w:val="18"/>
              </w:numPr>
              <w:rPr>
                <w:sz w:val="28"/>
                <w:szCs w:val="28"/>
              </w:rPr>
            </w:pPr>
            <w:r w:rsidRPr="00573104">
              <w:rPr>
                <w:sz w:val="28"/>
                <w:szCs w:val="28"/>
              </w:rPr>
              <w:t xml:space="preserve">The skills previously acquired in Key Stage 1 will be developed further to encourage singing and playing musically with increased confidence and control. </w:t>
            </w:r>
          </w:p>
          <w:p w14:paraId="489478C0" w14:textId="77777777" w:rsidR="00573104" w:rsidRPr="00573104" w:rsidRDefault="00573104" w:rsidP="00573104">
            <w:pPr>
              <w:pStyle w:val="ListParagraph"/>
              <w:numPr>
                <w:ilvl w:val="0"/>
                <w:numId w:val="18"/>
              </w:numPr>
              <w:rPr>
                <w:sz w:val="28"/>
                <w:szCs w:val="28"/>
              </w:rPr>
            </w:pPr>
            <w:r w:rsidRPr="00573104">
              <w:rPr>
                <w:sz w:val="28"/>
                <w:szCs w:val="28"/>
              </w:rPr>
              <w:t>There is a greater emphasis on composition, including improvisation, for a range of purposes. Although the National Curriculum mentions using and understanding musical notation, this can be represented in different ways to meet the needs of all learners. Regular exposure to a range of high-quality live and recorded music will help to build a familiar and recognisable repertoire for learners.</w:t>
            </w:r>
          </w:p>
          <w:p w14:paraId="02E9478E" w14:textId="77777777" w:rsidR="007F4321" w:rsidRPr="00573104" w:rsidRDefault="007F4321" w:rsidP="00573104">
            <w:pPr>
              <w:rPr>
                <w:b/>
                <w:sz w:val="28"/>
                <w:szCs w:val="28"/>
              </w:rPr>
            </w:pPr>
          </w:p>
        </w:tc>
      </w:tr>
      <w:tr w:rsidR="007F4321" w14:paraId="3C1D1BBE" w14:textId="77777777" w:rsidTr="00AE3EA0">
        <w:tc>
          <w:tcPr>
            <w:tcW w:w="13948" w:type="dxa"/>
            <w:gridSpan w:val="2"/>
            <w:shd w:val="clear" w:color="auto" w:fill="B4C6E7" w:themeFill="accent1" w:themeFillTint="66"/>
          </w:tcPr>
          <w:p w14:paraId="7A3AC825" w14:textId="77777777" w:rsidR="007F4321" w:rsidRPr="007F4321" w:rsidRDefault="007F4321" w:rsidP="007F4321">
            <w:pPr>
              <w:jc w:val="center"/>
              <w:rPr>
                <w:b/>
                <w:sz w:val="28"/>
                <w:szCs w:val="28"/>
              </w:rPr>
            </w:pPr>
            <w:r w:rsidRPr="007F4321">
              <w:rPr>
                <w:b/>
                <w:sz w:val="28"/>
                <w:szCs w:val="28"/>
              </w:rPr>
              <w:lastRenderedPageBreak/>
              <w:t>Strategies to Support Learners with SEND</w:t>
            </w:r>
          </w:p>
        </w:tc>
      </w:tr>
      <w:tr w:rsidR="008758CD" w14:paraId="05892AAD" w14:textId="77777777" w:rsidTr="00D82F1A">
        <w:tc>
          <w:tcPr>
            <w:tcW w:w="4815" w:type="dxa"/>
            <w:shd w:val="clear" w:color="auto" w:fill="FFFFFF" w:themeFill="background1"/>
          </w:tcPr>
          <w:p w14:paraId="43BE1BDE" w14:textId="77777777" w:rsidR="008758CD" w:rsidRPr="00D82F1A" w:rsidRDefault="00573104" w:rsidP="00D82F1A">
            <w:pPr>
              <w:rPr>
                <w:b/>
                <w:sz w:val="28"/>
                <w:szCs w:val="28"/>
              </w:rPr>
            </w:pPr>
            <w:r>
              <w:rPr>
                <w:b/>
                <w:sz w:val="28"/>
                <w:szCs w:val="28"/>
              </w:rPr>
              <w:t>S</w:t>
            </w:r>
            <w:r w:rsidRPr="00573104">
              <w:rPr>
                <w:b/>
                <w:sz w:val="28"/>
                <w:szCs w:val="28"/>
              </w:rPr>
              <w:t>upport</w:t>
            </w:r>
            <w:r>
              <w:rPr>
                <w:b/>
                <w:sz w:val="28"/>
                <w:szCs w:val="28"/>
              </w:rPr>
              <w:t>ing</w:t>
            </w:r>
            <w:r w:rsidRPr="00573104">
              <w:rPr>
                <w:b/>
                <w:sz w:val="28"/>
                <w:szCs w:val="28"/>
              </w:rPr>
              <w:t xml:space="preserve"> learners who struggle with attention</w:t>
            </w:r>
          </w:p>
        </w:tc>
        <w:tc>
          <w:tcPr>
            <w:tcW w:w="9133" w:type="dxa"/>
          </w:tcPr>
          <w:p w14:paraId="6F3FF74D" w14:textId="77777777" w:rsidR="00573104" w:rsidRPr="00573104" w:rsidRDefault="00573104" w:rsidP="00573104">
            <w:pPr>
              <w:pStyle w:val="ListParagraph"/>
              <w:numPr>
                <w:ilvl w:val="0"/>
                <w:numId w:val="12"/>
              </w:numPr>
              <w:rPr>
                <w:sz w:val="28"/>
                <w:szCs w:val="28"/>
              </w:rPr>
            </w:pPr>
            <w:r w:rsidRPr="00573104">
              <w:rPr>
                <w:sz w:val="28"/>
                <w:szCs w:val="28"/>
              </w:rPr>
              <w:t xml:space="preserve">Carefully consider the layout of the learning environment to engage all learners and maximise access to resources, bearing in mind that circles and grouped tables can be a barrier to attention on learning. </w:t>
            </w:r>
          </w:p>
          <w:p w14:paraId="03FF3525" w14:textId="77777777" w:rsidR="00573104" w:rsidRPr="00573104" w:rsidRDefault="00573104" w:rsidP="00573104">
            <w:pPr>
              <w:pStyle w:val="ListParagraph"/>
              <w:numPr>
                <w:ilvl w:val="0"/>
                <w:numId w:val="12"/>
              </w:numPr>
              <w:rPr>
                <w:sz w:val="28"/>
                <w:szCs w:val="28"/>
              </w:rPr>
            </w:pPr>
            <w:r w:rsidRPr="00573104">
              <w:rPr>
                <w:sz w:val="28"/>
                <w:szCs w:val="28"/>
              </w:rPr>
              <w:t xml:space="preserve">Pre-expose learners to the content of the lesson, e.g., show them particular instruments and how they are played, share snippets of music and pre-teach musical elements and terminology. </w:t>
            </w:r>
          </w:p>
          <w:p w14:paraId="70A67CC4" w14:textId="77777777" w:rsidR="007E156A" w:rsidRDefault="00573104" w:rsidP="007E156A">
            <w:pPr>
              <w:pStyle w:val="ListParagraph"/>
              <w:numPr>
                <w:ilvl w:val="0"/>
                <w:numId w:val="12"/>
              </w:numPr>
              <w:rPr>
                <w:sz w:val="28"/>
                <w:szCs w:val="28"/>
              </w:rPr>
            </w:pPr>
            <w:r w:rsidRPr="00573104">
              <w:rPr>
                <w:sz w:val="28"/>
                <w:szCs w:val="28"/>
              </w:rPr>
              <w:t>Consider potential unhelpful sources of distraction, such as over</w:t>
            </w:r>
            <w:r w:rsidR="007E156A">
              <w:rPr>
                <w:sz w:val="28"/>
                <w:szCs w:val="28"/>
              </w:rPr>
              <w:t xml:space="preserve"> </w:t>
            </w:r>
            <w:r w:rsidRPr="00573104">
              <w:rPr>
                <w:sz w:val="28"/>
                <w:szCs w:val="28"/>
              </w:rPr>
              <w:t xml:space="preserve">frequent changes of task or unstructured group work. </w:t>
            </w:r>
          </w:p>
          <w:p w14:paraId="3E0D717A" w14:textId="77777777" w:rsidR="00573104" w:rsidRPr="007E156A" w:rsidRDefault="00573104" w:rsidP="007E156A">
            <w:pPr>
              <w:pStyle w:val="ListParagraph"/>
              <w:numPr>
                <w:ilvl w:val="0"/>
                <w:numId w:val="12"/>
              </w:numPr>
              <w:rPr>
                <w:sz w:val="28"/>
                <w:szCs w:val="28"/>
              </w:rPr>
            </w:pPr>
            <w:r w:rsidRPr="007E156A">
              <w:rPr>
                <w:sz w:val="28"/>
                <w:szCs w:val="28"/>
              </w:rPr>
              <w:t xml:space="preserve"> Give learners a particular role in the lesson to keep them engaged and promote active participation. </w:t>
            </w:r>
          </w:p>
          <w:p w14:paraId="24C71BFB" w14:textId="77777777" w:rsidR="008758CD" w:rsidRPr="0092768F" w:rsidRDefault="00573104" w:rsidP="00573104">
            <w:pPr>
              <w:pStyle w:val="ListParagraph"/>
              <w:numPr>
                <w:ilvl w:val="0"/>
                <w:numId w:val="12"/>
              </w:numPr>
              <w:rPr>
                <w:sz w:val="28"/>
                <w:szCs w:val="28"/>
              </w:rPr>
            </w:pPr>
            <w:r w:rsidRPr="00573104">
              <w:rPr>
                <w:sz w:val="28"/>
                <w:szCs w:val="28"/>
              </w:rPr>
              <w:t>Arrange movement breaks or short ‘time out’ breaks away from the learning environment when and if necessary.</w:t>
            </w:r>
          </w:p>
        </w:tc>
      </w:tr>
      <w:tr w:rsidR="008758CD" w14:paraId="6BAD8632" w14:textId="77777777" w:rsidTr="00D82F1A">
        <w:tc>
          <w:tcPr>
            <w:tcW w:w="4815" w:type="dxa"/>
          </w:tcPr>
          <w:p w14:paraId="7A36F50D" w14:textId="77777777" w:rsidR="008758CD" w:rsidRPr="00DF5E63" w:rsidRDefault="00573104" w:rsidP="00D82F1A">
            <w:pPr>
              <w:rPr>
                <w:b/>
                <w:sz w:val="28"/>
                <w:szCs w:val="28"/>
              </w:rPr>
            </w:pPr>
            <w:r w:rsidRPr="00573104">
              <w:rPr>
                <w:b/>
                <w:sz w:val="28"/>
                <w:szCs w:val="28"/>
              </w:rPr>
              <w:lastRenderedPageBreak/>
              <w:t>Supporting learners</w:t>
            </w:r>
            <w:r>
              <w:t xml:space="preserve"> </w:t>
            </w:r>
            <w:r w:rsidRPr="00573104">
              <w:rPr>
                <w:b/>
                <w:sz w:val="28"/>
                <w:szCs w:val="28"/>
              </w:rPr>
              <w:t>who have sensory issues</w:t>
            </w:r>
          </w:p>
        </w:tc>
        <w:tc>
          <w:tcPr>
            <w:tcW w:w="9133" w:type="dxa"/>
          </w:tcPr>
          <w:p w14:paraId="2963FB7F" w14:textId="77777777" w:rsidR="007E156A" w:rsidRPr="007E156A" w:rsidRDefault="007E156A" w:rsidP="007E156A">
            <w:pPr>
              <w:pStyle w:val="ListParagraph"/>
              <w:numPr>
                <w:ilvl w:val="0"/>
                <w:numId w:val="13"/>
              </w:numPr>
              <w:rPr>
                <w:sz w:val="28"/>
                <w:szCs w:val="28"/>
              </w:rPr>
            </w:pPr>
            <w:r w:rsidRPr="007E156A">
              <w:rPr>
                <w:sz w:val="28"/>
                <w:szCs w:val="28"/>
              </w:rPr>
              <w:t xml:space="preserve">Consider the size of the group and allow for the fact that learners may benefit from smaller groups or individual work. </w:t>
            </w:r>
          </w:p>
          <w:p w14:paraId="7BB3EFB4" w14:textId="77777777" w:rsidR="007E156A" w:rsidRPr="007E156A" w:rsidRDefault="007E156A" w:rsidP="007E156A">
            <w:pPr>
              <w:pStyle w:val="ListParagraph"/>
              <w:numPr>
                <w:ilvl w:val="0"/>
                <w:numId w:val="13"/>
              </w:numPr>
              <w:rPr>
                <w:sz w:val="28"/>
                <w:szCs w:val="28"/>
              </w:rPr>
            </w:pPr>
            <w:r w:rsidRPr="007E156A">
              <w:rPr>
                <w:sz w:val="28"/>
                <w:szCs w:val="28"/>
              </w:rPr>
              <w:t xml:space="preserve">Music lessons can be challenging for learners with auditory sensitivity. Pre-exposure to music and/or instruments can help to prepare learners, as can the use of a neighbouring room, if space allows. Ear defenders can enable learners to partake in lessons with more confidence. </w:t>
            </w:r>
          </w:p>
          <w:p w14:paraId="40FFD1EA" w14:textId="77777777" w:rsidR="007E156A" w:rsidRPr="007E156A" w:rsidRDefault="007E156A" w:rsidP="007E156A">
            <w:pPr>
              <w:pStyle w:val="ListParagraph"/>
              <w:numPr>
                <w:ilvl w:val="0"/>
                <w:numId w:val="13"/>
              </w:numPr>
              <w:rPr>
                <w:sz w:val="28"/>
                <w:szCs w:val="28"/>
              </w:rPr>
            </w:pPr>
            <w:r w:rsidRPr="007E156A">
              <w:rPr>
                <w:sz w:val="28"/>
                <w:szCs w:val="28"/>
              </w:rPr>
              <w:t xml:space="preserve">Create opportunities for physical contact with instruments and/or sound sources if learners cannot hear sounds clearly. Percussion, stringed, wind and brass instruments all lend themselves well to this.  </w:t>
            </w:r>
          </w:p>
          <w:p w14:paraId="3124CBDC" w14:textId="77777777" w:rsidR="008758CD" w:rsidRPr="00E97799" w:rsidRDefault="007E156A" w:rsidP="007E156A">
            <w:pPr>
              <w:pStyle w:val="ListParagraph"/>
              <w:numPr>
                <w:ilvl w:val="0"/>
                <w:numId w:val="13"/>
              </w:numPr>
              <w:rPr>
                <w:sz w:val="28"/>
                <w:szCs w:val="28"/>
              </w:rPr>
            </w:pPr>
            <w:r w:rsidRPr="007E156A">
              <w:rPr>
                <w:sz w:val="28"/>
                <w:szCs w:val="28"/>
              </w:rPr>
              <w:t>Consider the lighting in the learning environment and if learners would benefit from reduced glare on interactive whiteboards and computer screens.</w:t>
            </w:r>
          </w:p>
        </w:tc>
      </w:tr>
      <w:tr w:rsidR="008758CD" w14:paraId="7C240DD0" w14:textId="77777777" w:rsidTr="00D82F1A">
        <w:tc>
          <w:tcPr>
            <w:tcW w:w="4815" w:type="dxa"/>
          </w:tcPr>
          <w:p w14:paraId="7B020CBE" w14:textId="77777777" w:rsidR="008758CD" w:rsidRPr="00DF5E63" w:rsidRDefault="00573104" w:rsidP="00DF5E63">
            <w:pPr>
              <w:rPr>
                <w:b/>
                <w:sz w:val="28"/>
                <w:szCs w:val="28"/>
              </w:rPr>
            </w:pPr>
            <w:r w:rsidRPr="00573104">
              <w:rPr>
                <w:b/>
                <w:sz w:val="28"/>
                <w:szCs w:val="28"/>
              </w:rPr>
              <w:t>Supporting learners</w:t>
            </w:r>
            <w:r>
              <w:rPr>
                <w:b/>
                <w:sz w:val="28"/>
                <w:szCs w:val="28"/>
              </w:rPr>
              <w:t xml:space="preserve"> who</w:t>
            </w:r>
            <w:r>
              <w:t xml:space="preserve"> </w:t>
            </w:r>
            <w:r w:rsidRPr="00573104">
              <w:rPr>
                <w:b/>
                <w:sz w:val="28"/>
                <w:szCs w:val="28"/>
              </w:rPr>
              <w:t>struggle to access lessons because of literacy difficulties</w:t>
            </w:r>
          </w:p>
        </w:tc>
        <w:tc>
          <w:tcPr>
            <w:tcW w:w="9133" w:type="dxa"/>
          </w:tcPr>
          <w:p w14:paraId="18AFDA79" w14:textId="77777777" w:rsidR="007E156A" w:rsidRPr="007E156A" w:rsidRDefault="007E156A" w:rsidP="007E156A">
            <w:pPr>
              <w:pStyle w:val="ListParagraph"/>
              <w:numPr>
                <w:ilvl w:val="0"/>
                <w:numId w:val="14"/>
              </w:numPr>
              <w:rPr>
                <w:sz w:val="28"/>
                <w:szCs w:val="28"/>
              </w:rPr>
            </w:pPr>
            <w:r w:rsidRPr="007E156A">
              <w:rPr>
                <w:sz w:val="28"/>
                <w:szCs w:val="28"/>
              </w:rPr>
              <w:t xml:space="preserve">Provide visual aids to enable learners to identify instruments and musical dimensions, such as pitch and tempo. </w:t>
            </w:r>
          </w:p>
          <w:p w14:paraId="2D5D1AC4" w14:textId="77777777" w:rsidR="007E156A" w:rsidRPr="007E156A" w:rsidRDefault="007E156A" w:rsidP="007E156A">
            <w:pPr>
              <w:pStyle w:val="ListParagraph"/>
              <w:numPr>
                <w:ilvl w:val="0"/>
                <w:numId w:val="14"/>
              </w:numPr>
              <w:rPr>
                <w:sz w:val="28"/>
                <w:szCs w:val="28"/>
              </w:rPr>
            </w:pPr>
            <w:r w:rsidRPr="007E156A">
              <w:rPr>
                <w:sz w:val="28"/>
                <w:szCs w:val="28"/>
              </w:rPr>
              <w:t xml:space="preserve">Use strategies such as modelling, demonstrating and imitating to help learners understand musical concepts. </w:t>
            </w:r>
          </w:p>
          <w:p w14:paraId="67D89DA1" w14:textId="77777777" w:rsidR="008758CD" w:rsidRPr="00DF5E63" w:rsidRDefault="007E156A" w:rsidP="007E156A">
            <w:pPr>
              <w:pStyle w:val="ListParagraph"/>
              <w:numPr>
                <w:ilvl w:val="0"/>
                <w:numId w:val="14"/>
              </w:numPr>
              <w:rPr>
                <w:sz w:val="28"/>
                <w:szCs w:val="28"/>
              </w:rPr>
            </w:pPr>
            <w:r w:rsidRPr="007E156A">
              <w:rPr>
                <w:sz w:val="28"/>
                <w:szCs w:val="28"/>
              </w:rPr>
              <w:t>Create a graphic score or pictorial representations of a composition to provide a form of non-verbal communication.</w:t>
            </w:r>
          </w:p>
        </w:tc>
      </w:tr>
      <w:tr w:rsidR="008758CD" w14:paraId="72C1F113" w14:textId="77777777" w:rsidTr="00D82F1A">
        <w:tc>
          <w:tcPr>
            <w:tcW w:w="4815" w:type="dxa"/>
          </w:tcPr>
          <w:p w14:paraId="0E32ED16" w14:textId="77777777" w:rsidR="008758CD" w:rsidRPr="00DF5E63" w:rsidRDefault="00573104" w:rsidP="00AA4F36">
            <w:pPr>
              <w:rPr>
                <w:b/>
                <w:sz w:val="28"/>
                <w:szCs w:val="28"/>
              </w:rPr>
            </w:pPr>
            <w:r w:rsidRPr="00573104">
              <w:rPr>
                <w:b/>
                <w:sz w:val="28"/>
                <w:szCs w:val="28"/>
              </w:rPr>
              <w:t>Supporting learners</w:t>
            </w:r>
            <w:r>
              <w:rPr>
                <w:b/>
                <w:sz w:val="28"/>
                <w:szCs w:val="28"/>
              </w:rPr>
              <w:t xml:space="preserve"> who </w:t>
            </w:r>
            <w:r w:rsidRPr="00573104">
              <w:rPr>
                <w:b/>
                <w:sz w:val="28"/>
                <w:szCs w:val="28"/>
              </w:rPr>
              <w:t>struggle to retain vocabulary</w:t>
            </w:r>
          </w:p>
        </w:tc>
        <w:tc>
          <w:tcPr>
            <w:tcW w:w="9133" w:type="dxa"/>
          </w:tcPr>
          <w:p w14:paraId="52BE16AB" w14:textId="77777777" w:rsidR="007E156A" w:rsidRPr="007E156A" w:rsidRDefault="007E156A" w:rsidP="007E156A">
            <w:pPr>
              <w:pStyle w:val="ListParagraph"/>
              <w:numPr>
                <w:ilvl w:val="0"/>
                <w:numId w:val="10"/>
              </w:numPr>
              <w:rPr>
                <w:sz w:val="28"/>
                <w:szCs w:val="28"/>
              </w:rPr>
            </w:pPr>
            <w:r w:rsidRPr="007E156A">
              <w:rPr>
                <w:sz w:val="28"/>
                <w:szCs w:val="28"/>
              </w:rPr>
              <w:t xml:space="preserve">Begin each lesson with a recap of key vocabulary learned to date. </w:t>
            </w:r>
          </w:p>
          <w:p w14:paraId="6178885E" w14:textId="77777777" w:rsidR="007E156A" w:rsidRPr="007E156A" w:rsidRDefault="007E156A" w:rsidP="007E156A">
            <w:pPr>
              <w:pStyle w:val="ListParagraph"/>
              <w:numPr>
                <w:ilvl w:val="0"/>
                <w:numId w:val="10"/>
              </w:numPr>
              <w:rPr>
                <w:sz w:val="28"/>
                <w:szCs w:val="28"/>
              </w:rPr>
            </w:pPr>
            <w:r w:rsidRPr="007E156A">
              <w:rPr>
                <w:sz w:val="28"/>
                <w:szCs w:val="28"/>
              </w:rPr>
              <w:t xml:space="preserve">Provide visual word banks that are accessible throughout, as necessary. For support in identifying different instruments photographs of those learners playing the instruments, can help with retention. For support with the meanings of musical dimensions, pictorial word banks can be effective.  </w:t>
            </w:r>
          </w:p>
          <w:p w14:paraId="68146DB7" w14:textId="77777777" w:rsidR="008758CD" w:rsidRPr="00E97799" w:rsidRDefault="007E156A" w:rsidP="007E156A">
            <w:pPr>
              <w:pStyle w:val="ListParagraph"/>
              <w:numPr>
                <w:ilvl w:val="0"/>
                <w:numId w:val="10"/>
              </w:numPr>
              <w:rPr>
                <w:sz w:val="28"/>
                <w:szCs w:val="28"/>
              </w:rPr>
            </w:pPr>
            <w:r w:rsidRPr="007E156A">
              <w:rPr>
                <w:sz w:val="28"/>
                <w:szCs w:val="28"/>
              </w:rPr>
              <w:t xml:space="preserve">Drip-feed key vocabulary throughout the school day, rather than limiting references to specific music lessons. Discussions around music </w:t>
            </w:r>
            <w:r w:rsidRPr="007E156A">
              <w:rPr>
                <w:sz w:val="28"/>
                <w:szCs w:val="28"/>
              </w:rPr>
              <w:lastRenderedPageBreak/>
              <w:t>listened to during assemblies or in other curriculum areas can help to embed this language.</w:t>
            </w:r>
          </w:p>
        </w:tc>
      </w:tr>
      <w:tr w:rsidR="008758CD" w14:paraId="208C2CF4" w14:textId="77777777" w:rsidTr="00D82F1A">
        <w:tc>
          <w:tcPr>
            <w:tcW w:w="4815" w:type="dxa"/>
          </w:tcPr>
          <w:p w14:paraId="154A5FD0" w14:textId="77777777" w:rsidR="008758CD" w:rsidRPr="00E97799" w:rsidRDefault="00573104" w:rsidP="008758CD">
            <w:pPr>
              <w:rPr>
                <w:b/>
                <w:sz w:val="28"/>
                <w:szCs w:val="28"/>
              </w:rPr>
            </w:pPr>
            <w:r w:rsidRPr="00573104">
              <w:rPr>
                <w:b/>
                <w:sz w:val="28"/>
                <w:szCs w:val="28"/>
              </w:rPr>
              <w:lastRenderedPageBreak/>
              <w:t>Supporting learners</w:t>
            </w:r>
            <w:r>
              <w:rPr>
                <w:b/>
                <w:sz w:val="28"/>
                <w:szCs w:val="28"/>
              </w:rPr>
              <w:t xml:space="preserve"> who </w:t>
            </w:r>
            <w:r w:rsidRPr="00573104">
              <w:rPr>
                <w:b/>
                <w:sz w:val="28"/>
                <w:szCs w:val="28"/>
              </w:rPr>
              <w:t>need additional time to develop conceptual understanding?</w:t>
            </w:r>
          </w:p>
        </w:tc>
        <w:tc>
          <w:tcPr>
            <w:tcW w:w="9133" w:type="dxa"/>
          </w:tcPr>
          <w:p w14:paraId="614A766B" w14:textId="77777777" w:rsidR="007E156A" w:rsidRPr="007E156A" w:rsidRDefault="007E156A" w:rsidP="007E156A">
            <w:pPr>
              <w:pStyle w:val="ListParagraph"/>
              <w:numPr>
                <w:ilvl w:val="0"/>
                <w:numId w:val="10"/>
              </w:numPr>
              <w:rPr>
                <w:sz w:val="28"/>
                <w:szCs w:val="28"/>
              </w:rPr>
            </w:pPr>
            <w:r w:rsidRPr="007E156A">
              <w:rPr>
                <w:sz w:val="28"/>
                <w:szCs w:val="28"/>
              </w:rPr>
              <w:t xml:space="preserve">Break down content into small steps and allow time for guided practice of each step to build up conceptual understanding. </w:t>
            </w:r>
          </w:p>
          <w:p w14:paraId="00ADC822" w14:textId="77777777" w:rsidR="007E156A" w:rsidRPr="007E156A" w:rsidRDefault="007E156A" w:rsidP="007E156A">
            <w:pPr>
              <w:pStyle w:val="ListParagraph"/>
              <w:numPr>
                <w:ilvl w:val="0"/>
                <w:numId w:val="10"/>
              </w:numPr>
              <w:rPr>
                <w:sz w:val="28"/>
                <w:szCs w:val="28"/>
              </w:rPr>
            </w:pPr>
            <w:r w:rsidRPr="007E156A">
              <w:rPr>
                <w:sz w:val="28"/>
                <w:szCs w:val="28"/>
              </w:rPr>
              <w:t xml:space="preserve">If resources allow, create a small group opportunity to enable learners to develop understanding with closer adult intervention.  </w:t>
            </w:r>
          </w:p>
          <w:p w14:paraId="25E36AFD" w14:textId="77777777" w:rsidR="008758CD" w:rsidRPr="00E97799" w:rsidRDefault="007E156A" w:rsidP="007E156A">
            <w:pPr>
              <w:pStyle w:val="ListParagraph"/>
              <w:numPr>
                <w:ilvl w:val="0"/>
                <w:numId w:val="10"/>
              </w:numPr>
              <w:rPr>
                <w:sz w:val="28"/>
                <w:szCs w:val="28"/>
              </w:rPr>
            </w:pPr>
            <w:r w:rsidRPr="007E156A">
              <w:rPr>
                <w:sz w:val="28"/>
                <w:szCs w:val="28"/>
              </w:rPr>
              <w:t>Maximise opportunities to model, demonstrate and imitate in to encourage active participation through a scaffolded experience.</w:t>
            </w:r>
          </w:p>
        </w:tc>
      </w:tr>
    </w:tbl>
    <w:p w14:paraId="6333B07F" w14:textId="77777777" w:rsidR="008758CD" w:rsidRDefault="008758CD" w:rsidP="008758CD">
      <w:pPr>
        <w:rPr>
          <w:sz w:val="28"/>
          <w:szCs w:val="28"/>
        </w:rPr>
      </w:pPr>
    </w:p>
    <w:p w14:paraId="12C85AE9" w14:textId="77777777" w:rsidR="007F4321" w:rsidRPr="007F4321" w:rsidRDefault="007F4321" w:rsidP="008758CD">
      <w:pPr>
        <w:rPr>
          <w:sz w:val="28"/>
          <w:szCs w:val="28"/>
          <w:u w:val="single"/>
        </w:rPr>
      </w:pPr>
    </w:p>
    <w:sectPr w:rsidR="007F4321" w:rsidRPr="007F4321" w:rsidSect="00A03CED">
      <w:headerReference w:type="default" r:id="rId8"/>
      <w:footerReference w:type="default" r:id="rId9"/>
      <w:headerReference w:type="first" r:id="rId10"/>
      <w:pgSz w:w="16838" w:h="11906" w:orient="landscape"/>
      <w:pgMar w:top="567"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99E0A" w14:textId="77777777" w:rsidR="00A03CED" w:rsidRDefault="00A03CED" w:rsidP="008758CD">
      <w:pPr>
        <w:spacing w:after="0" w:line="240" w:lineRule="auto"/>
      </w:pPr>
      <w:r>
        <w:separator/>
      </w:r>
    </w:p>
  </w:endnote>
  <w:endnote w:type="continuationSeparator" w:id="0">
    <w:p w14:paraId="13CEA780" w14:textId="77777777" w:rsidR="00A03CED" w:rsidRDefault="00A03CED" w:rsidP="00875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5842527"/>
      <w:docPartObj>
        <w:docPartGallery w:val="Page Numbers (Bottom of Page)"/>
        <w:docPartUnique/>
      </w:docPartObj>
    </w:sdtPr>
    <w:sdtEndPr>
      <w:rPr>
        <w:noProof/>
      </w:rPr>
    </w:sdtEndPr>
    <w:sdtContent>
      <w:p w14:paraId="28BB6D56" w14:textId="115BCCA8" w:rsidR="00673079" w:rsidRDefault="00673079">
        <w:pPr>
          <w:pStyle w:val="Footer"/>
        </w:pPr>
        <w:r>
          <w:fldChar w:fldCharType="begin"/>
        </w:r>
        <w:r>
          <w:instrText xml:space="preserve"> PAGE   \* MERGEFORMAT </w:instrText>
        </w:r>
        <w:r>
          <w:fldChar w:fldCharType="separate"/>
        </w:r>
        <w:r w:rsidR="009408C0">
          <w:rPr>
            <w:noProof/>
          </w:rPr>
          <w:t>2</w:t>
        </w:r>
        <w:r>
          <w:rPr>
            <w:noProof/>
          </w:rPr>
          <w:fldChar w:fldCharType="end"/>
        </w:r>
      </w:p>
    </w:sdtContent>
  </w:sdt>
  <w:p w14:paraId="066D4828" w14:textId="77777777" w:rsidR="00673079" w:rsidRDefault="00673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A06C1" w14:textId="77777777" w:rsidR="00A03CED" w:rsidRDefault="00A03CED" w:rsidP="008758CD">
      <w:pPr>
        <w:spacing w:after="0" w:line="240" w:lineRule="auto"/>
      </w:pPr>
      <w:r>
        <w:separator/>
      </w:r>
    </w:p>
  </w:footnote>
  <w:footnote w:type="continuationSeparator" w:id="0">
    <w:p w14:paraId="2FB2227A" w14:textId="77777777" w:rsidR="00A03CED" w:rsidRDefault="00A03CED" w:rsidP="00875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29156" w14:textId="35C894F0" w:rsidR="008758CD" w:rsidRDefault="007E156A" w:rsidP="007E156A">
    <w:pPr>
      <w:pStyle w:val="Header"/>
      <w:tabs>
        <w:tab w:val="clear" w:pos="4513"/>
        <w:tab w:val="clear" w:pos="9026"/>
        <w:tab w:val="left" w:pos="2790"/>
        <w:tab w:val="left" w:pos="3600"/>
      </w:tabs>
      <w:rPr>
        <w:b/>
        <w:sz w:val="32"/>
        <w:szCs w:val="32"/>
        <w:u w:val="single"/>
      </w:rPr>
    </w:pPr>
    <w:r>
      <w:rPr>
        <w:b/>
        <w:sz w:val="28"/>
        <w:szCs w:val="28"/>
      </w:rPr>
      <w:t xml:space="preserve">                                  </w:t>
    </w:r>
  </w:p>
  <w:p w14:paraId="6C3E6BF4" w14:textId="77777777" w:rsidR="00E267CA" w:rsidRDefault="00E267CA" w:rsidP="008758CD">
    <w:pPr>
      <w:pStyle w:val="Header"/>
      <w:tabs>
        <w:tab w:val="clear" w:pos="4513"/>
        <w:tab w:val="clear" w:pos="9026"/>
        <w:tab w:val="left" w:pos="2790"/>
        <w:tab w:val="left" w:pos="360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0520"/>
      <w:gridCol w:w="1566"/>
    </w:tblGrid>
    <w:tr w:rsidR="00AE3EA0" w14:paraId="7924A0D9" w14:textId="77777777" w:rsidTr="00E07F96">
      <w:tc>
        <w:tcPr>
          <w:tcW w:w="1926" w:type="dxa"/>
          <w:vAlign w:val="center"/>
        </w:tcPr>
        <w:p w14:paraId="4A81856F" w14:textId="77777777" w:rsidR="00AE3EA0" w:rsidRDefault="00AE3EA0" w:rsidP="00AE3EA0">
          <w:pPr>
            <w:pStyle w:val="Header"/>
            <w:tabs>
              <w:tab w:val="clear" w:pos="4513"/>
              <w:tab w:val="clear" w:pos="9026"/>
              <w:tab w:val="left" w:pos="2790"/>
              <w:tab w:val="left" w:pos="3600"/>
            </w:tabs>
          </w:pPr>
          <w:r>
            <w:rPr>
              <w:noProof/>
              <w:lang w:eastAsia="en-GB"/>
            </w:rPr>
            <w:drawing>
              <wp:inline distT="0" distB="0" distL="0" distR="0" wp14:anchorId="0D3B8B1D" wp14:editId="405488C3">
                <wp:extent cx="857250" cy="857250"/>
                <wp:effectExtent l="0" t="0" r="0" b="0"/>
                <wp:docPr id="1640827579" name="Picture 1" descr="A blue circle with white text and a scro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827579" name="Picture 1" descr="A blue circle with white text and a scrol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57369" cy="857369"/>
                        </a:xfrm>
                        <a:prstGeom prst="rect">
                          <a:avLst/>
                        </a:prstGeom>
                      </pic:spPr>
                    </pic:pic>
                  </a:graphicData>
                </a:graphic>
              </wp:inline>
            </w:drawing>
          </w:r>
        </w:p>
      </w:tc>
      <w:tc>
        <w:tcPr>
          <w:tcW w:w="11966" w:type="dxa"/>
          <w:vAlign w:val="center"/>
        </w:tcPr>
        <w:p w14:paraId="65E8C884" w14:textId="77777777" w:rsidR="00AE3EA0" w:rsidRDefault="00AE3EA0" w:rsidP="00AE3EA0">
          <w:pPr>
            <w:pStyle w:val="Header"/>
            <w:tabs>
              <w:tab w:val="clear" w:pos="4513"/>
              <w:tab w:val="clear" w:pos="9026"/>
              <w:tab w:val="left" w:pos="2790"/>
              <w:tab w:val="left" w:pos="3600"/>
            </w:tabs>
            <w:jc w:val="center"/>
            <w:rPr>
              <w:b/>
              <w:bCs/>
              <w:sz w:val="48"/>
              <w:szCs w:val="48"/>
            </w:rPr>
          </w:pPr>
          <w:r w:rsidRPr="005F7273">
            <w:rPr>
              <w:b/>
              <w:bCs/>
              <w:sz w:val="48"/>
              <w:szCs w:val="48"/>
            </w:rPr>
            <w:t xml:space="preserve">Supporting children with SEND </w:t>
          </w:r>
        </w:p>
        <w:p w14:paraId="2E615DF3" w14:textId="77777777" w:rsidR="00AE3EA0" w:rsidRPr="005F7273" w:rsidRDefault="00AE3EA0" w:rsidP="00AE3EA0">
          <w:pPr>
            <w:pStyle w:val="Header"/>
            <w:tabs>
              <w:tab w:val="clear" w:pos="4513"/>
              <w:tab w:val="clear" w:pos="9026"/>
              <w:tab w:val="left" w:pos="2790"/>
              <w:tab w:val="left" w:pos="3600"/>
            </w:tabs>
            <w:jc w:val="center"/>
            <w:rPr>
              <w:b/>
              <w:bCs/>
              <w:sz w:val="48"/>
              <w:szCs w:val="48"/>
            </w:rPr>
          </w:pPr>
          <w:r>
            <w:rPr>
              <w:b/>
              <w:bCs/>
              <w:sz w:val="48"/>
              <w:szCs w:val="48"/>
            </w:rPr>
            <w:t>Music</w:t>
          </w:r>
        </w:p>
      </w:tc>
      <w:tc>
        <w:tcPr>
          <w:tcW w:w="1417" w:type="dxa"/>
          <w:vAlign w:val="center"/>
        </w:tcPr>
        <w:p w14:paraId="685DFFA1" w14:textId="77777777" w:rsidR="00AE3EA0" w:rsidRDefault="00AE3EA0" w:rsidP="00AE3EA0">
          <w:pPr>
            <w:pStyle w:val="Header"/>
            <w:tabs>
              <w:tab w:val="clear" w:pos="4513"/>
              <w:tab w:val="clear" w:pos="9026"/>
              <w:tab w:val="left" w:pos="2790"/>
              <w:tab w:val="left" w:pos="3600"/>
            </w:tabs>
          </w:pPr>
          <w:r>
            <w:rPr>
              <w:noProof/>
              <w:lang w:eastAsia="en-GB"/>
            </w:rPr>
            <w:drawing>
              <wp:inline distT="0" distB="0" distL="0" distR="0" wp14:anchorId="060F87A5" wp14:editId="1CD38083">
                <wp:extent cx="857250" cy="857250"/>
                <wp:effectExtent l="0" t="0" r="0" b="0"/>
                <wp:docPr id="980415621" name="Picture 1" descr="A blue circle with white text and a scro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827579" name="Picture 1" descr="A blue circle with white text and a scrol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57369" cy="857369"/>
                        </a:xfrm>
                        <a:prstGeom prst="rect">
                          <a:avLst/>
                        </a:prstGeom>
                      </pic:spPr>
                    </pic:pic>
                  </a:graphicData>
                </a:graphic>
              </wp:inline>
            </w:drawing>
          </w:r>
        </w:p>
      </w:tc>
    </w:tr>
  </w:tbl>
  <w:p w14:paraId="73102743" w14:textId="77777777" w:rsidR="00AE3EA0" w:rsidRDefault="00AE3E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0AE"/>
    <w:multiLevelType w:val="hybridMultilevel"/>
    <w:tmpl w:val="2B7C8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D4251"/>
    <w:multiLevelType w:val="hybridMultilevel"/>
    <w:tmpl w:val="DD6AB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73C6A"/>
    <w:multiLevelType w:val="hybridMultilevel"/>
    <w:tmpl w:val="9DA0A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D203B"/>
    <w:multiLevelType w:val="hybridMultilevel"/>
    <w:tmpl w:val="6A560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B66107"/>
    <w:multiLevelType w:val="hybridMultilevel"/>
    <w:tmpl w:val="0498B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C241F5"/>
    <w:multiLevelType w:val="hybridMultilevel"/>
    <w:tmpl w:val="06DEC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661096"/>
    <w:multiLevelType w:val="hybridMultilevel"/>
    <w:tmpl w:val="EF6A7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B640CB"/>
    <w:multiLevelType w:val="hybridMultilevel"/>
    <w:tmpl w:val="A8567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E80771"/>
    <w:multiLevelType w:val="hybridMultilevel"/>
    <w:tmpl w:val="10829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3328FB"/>
    <w:multiLevelType w:val="hybridMultilevel"/>
    <w:tmpl w:val="D798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4D3829"/>
    <w:multiLevelType w:val="hybridMultilevel"/>
    <w:tmpl w:val="6B36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6F5A5B"/>
    <w:multiLevelType w:val="hybridMultilevel"/>
    <w:tmpl w:val="63D8E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7633B5"/>
    <w:multiLevelType w:val="hybridMultilevel"/>
    <w:tmpl w:val="18107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FB4166"/>
    <w:multiLevelType w:val="hybridMultilevel"/>
    <w:tmpl w:val="759EB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EC74FD"/>
    <w:multiLevelType w:val="hybridMultilevel"/>
    <w:tmpl w:val="CB787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5324CD"/>
    <w:multiLevelType w:val="hybridMultilevel"/>
    <w:tmpl w:val="EDC2E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6C7AF0"/>
    <w:multiLevelType w:val="hybridMultilevel"/>
    <w:tmpl w:val="646CF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A56CB8"/>
    <w:multiLevelType w:val="hybridMultilevel"/>
    <w:tmpl w:val="76A28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2B51C0"/>
    <w:multiLevelType w:val="hybridMultilevel"/>
    <w:tmpl w:val="D0B66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4"/>
  </w:num>
  <w:num w:numId="4">
    <w:abstractNumId w:val="14"/>
  </w:num>
  <w:num w:numId="5">
    <w:abstractNumId w:val="6"/>
  </w:num>
  <w:num w:numId="6">
    <w:abstractNumId w:val="17"/>
  </w:num>
  <w:num w:numId="7">
    <w:abstractNumId w:val="7"/>
  </w:num>
  <w:num w:numId="8">
    <w:abstractNumId w:val="1"/>
  </w:num>
  <w:num w:numId="9">
    <w:abstractNumId w:val="10"/>
  </w:num>
  <w:num w:numId="10">
    <w:abstractNumId w:val="0"/>
  </w:num>
  <w:num w:numId="11">
    <w:abstractNumId w:val="8"/>
  </w:num>
  <w:num w:numId="12">
    <w:abstractNumId w:val="11"/>
  </w:num>
  <w:num w:numId="13">
    <w:abstractNumId w:val="3"/>
  </w:num>
  <w:num w:numId="14">
    <w:abstractNumId w:val="18"/>
  </w:num>
  <w:num w:numId="15">
    <w:abstractNumId w:val="12"/>
  </w:num>
  <w:num w:numId="16">
    <w:abstractNumId w:val="2"/>
  </w:num>
  <w:num w:numId="17">
    <w:abstractNumId w:val="9"/>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CD"/>
    <w:rsid w:val="00023243"/>
    <w:rsid w:val="00165591"/>
    <w:rsid w:val="003249B6"/>
    <w:rsid w:val="00573104"/>
    <w:rsid w:val="00614053"/>
    <w:rsid w:val="00673079"/>
    <w:rsid w:val="007E156A"/>
    <w:rsid w:val="007F4321"/>
    <w:rsid w:val="00830815"/>
    <w:rsid w:val="008758CD"/>
    <w:rsid w:val="0092768F"/>
    <w:rsid w:val="009408C0"/>
    <w:rsid w:val="009958AF"/>
    <w:rsid w:val="00A03CED"/>
    <w:rsid w:val="00A314F8"/>
    <w:rsid w:val="00A70CFF"/>
    <w:rsid w:val="00AA4F36"/>
    <w:rsid w:val="00AE3EA0"/>
    <w:rsid w:val="00D82F1A"/>
    <w:rsid w:val="00DF5E63"/>
    <w:rsid w:val="00E267CA"/>
    <w:rsid w:val="00E97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56650"/>
  <w15:chartTrackingRefBased/>
  <w15:docId w15:val="{B106BA8C-81CE-4F53-BDA8-CA9193005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58CD"/>
  </w:style>
  <w:style w:type="paragraph" w:styleId="Footer">
    <w:name w:val="footer"/>
    <w:basedOn w:val="Normal"/>
    <w:link w:val="FooterChar"/>
    <w:uiPriority w:val="99"/>
    <w:unhideWhenUsed/>
    <w:rsid w:val="00875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58CD"/>
  </w:style>
  <w:style w:type="table" w:styleId="TableGrid">
    <w:name w:val="Table Grid"/>
    <w:basedOn w:val="TableNormal"/>
    <w:uiPriority w:val="39"/>
    <w:rsid w:val="008758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5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D0690-D52D-4F31-BF82-B6FB1AAA7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Marshall</dc:creator>
  <cp:keywords/>
  <dc:description/>
  <cp:lastModifiedBy>Robert Webb</cp:lastModifiedBy>
  <cp:revision>4</cp:revision>
  <dcterms:created xsi:type="dcterms:W3CDTF">2024-04-28T08:14:00Z</dcterms:created>
  <dcterms:modified xsi:type="dcterms:W3CDTF">2024-04-29T10:04:00Z</dcterms:modified>
</cp:coreProperties>
</file>